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697"/>
        <w:gridCol w:w="4074"/>
        <w:gridCol w:w="3293"/>
      </w:tblGrid>
      <w:tr w:rsidR="00B36CC5" w:rsidRPr="008A0E29" w:rsidTr="006133C6">
        <w:trPr>
          <w:cantSplit/>
          <w:trHeight w:val="344"/>
        </w:trPr>
        <w:tc>
          <w:tcPr>
            <w:tcW w:w="10907" w:type="dxa"/>
            <w:gridSpan w:val="4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B36CC5" w:rsidRPr="008A0E29" w:rsidTr="00F73414">
        <w:trPr>
          <w:cantSplit/>
          <w:trHeight w:val="792"/>
        </w:trPr>
        <w:tc>
          <w:tcPr>
            <w:tcW w:w="3540" w:type="dxa"/>
            <w:gridSpan w:val="2"/>
            <w:vAlign w:val="center"/>
          </w:tcPr>
          <w:p w:rsidR="00B36CC5" w:rsidRPr="008A0E29" w:rsidRDefault="00F73414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074" w:type="dxa"/>
            <w:vMerge w:val="restart"/>
            <w:vAlign w:val="center"/>
          </w:tcPr>
          <w:p w:rsidR="00B36CC5" w:rsidRPr="008A0E29" w:rsidRDefault="00B36CC5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8A0E29">
              <w:rPr>
                <w:rFonts w:ascii="Arial" w:hAnsi="Arial" w:cs="Arial"/>
                <w:b/>
                <w:bCs/>
              </w:rPr>
              <w:t>MS-S10</w:t>
            </w:r>
            <w:r w:rsidR="002A4DED">
              <w:rPr>
                <w:rFonts w:ascii="Arial" w:hAnsi="Arial" w:cs="Arial"/>
                <w:b/>
                <w:bCs/>
              </w:rPr>
              <w:t>r</w:t>
            </w:r>
          </w:p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2D6AB3" w:rsidP="00C525B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3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61595</wp:posOffset>
                      </wp:positionV>
                      <wp:extent cx="2574290" cy="0"/>
                      <wp:effectExtent l="13970" t="5715" r="12065" b="13335"/>
                      <wp:wrapNone/>
                      <wp:docPr id="5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755BA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85pt" to="199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G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mIbWDMaVEFGrjQ3F0aN6Nc+afndI6bojascjxbeTgbwsZCTvUsLGGbhgO3zRDGLI3uvY&#10;p2Nr+wAJHUDHKMfpJgc/ekThMJ88Fvkc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"/>
                  </w:pict>
                </mc:Fallback>
              </mc:AlternateContent>
            </w:r>
          </w:p>
          <w:p w:rsidR="00B36CC5" w:rsidRPr="008A0E29" w:rsidRDefault="00B36CC5" w:rsidP="00C525B9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36CC5" w:rsidRPr="008A0E29" w:rsidRDefault="00C96804" w:rsidP="00C525B9">
            <w:pPr>
              <w:spacing w:before="8" w:after="8"/>
              <w:ind w:left="8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sz w:val="20"/>
                <w:szCs w:val="20"/>
              </w:rPr>
              <w:t>za rok 2017 r.</w:t>
            </w:r>
            <w:r w:rsidR="00B36CC5" w:rsidRPr="008A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93" w:type="dxa"/>
            <w:vAlign w:val="center"/>
          </w:tcPr>
          <w:p w:rsidR="00B36CC5" w:rsidRPr="008A0E29" w:rsidRDefault="00B36CC5" w:rsidP="00C525B9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Adresaci: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 Sąd Okręgowy</w:t>
            </w:r>
          </w:p>
          <w:p w:rsidR="00B36CC5" w:rsidRPr="008A0E29" w:rsidRDefault="00B36CC5" w:rsidP="00C525B9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2. Ministerstwo Sprawiedliwości</w:t>
            </w:r>
          </w:p>
          <w:p w:rsidR="00B36CC5" w:rsidRPr="008A0E29" w:rsidRDefault="00B36CC5" w:rsidP="000D430B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284C76" w:rsidRPr="008A0E29">
              <w:rPr>
                <w:rFonts w:ascii="Arial" w:hAnsi="Arial" w:cs="Arial"/>
                <w:sz w:val="14"/>
                <w:szCs w:val="14"/>
              </w:rPr>
              <w:t>Departament Strategii i Funduszy Europejskich</w:t>
            </w:r>
          </w:p>
        </w:tc>
      </w:tr>
      <w:tr w:rsidR="00B36CC5" w:rsidRPr="008A0E29" w:rsidTr="006133C6">
        <w:trPr>
          <w:cantSplit/>
          <w:trHeight w:val="240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 Sądu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 w:val="restart"/>
          </w:tcPr>
          <w:p w:rsidR="00B36CC5" w:rsidRPr="008A0E29" w:rsidRDefault="00B36CC5" w:rsidP="00C5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011D0E" w:rsidRPr="008A0E29" w:rsidRDefault="00011D0E" w:rsidP="00011D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B36CC5" w:rsidRPr="008A0E29" w:rsidRDefault="00011D0E" w:rsidP="002A4DED">
            <w:pPr>
              <w:ind w:left="117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2A4DED">
              <w:rPr>
                <w:rFonts w:ascii="Arial" w:hAnsi="Arial" w:cs="Arial"/>
                <w:sz w:val="16"/>
                <w:szCs w:val="16"/>
              </w:rPr>
              <w:t>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B36CC5" w:rsidRPr="008A0E29" w:rsidTr="006133C6">
        <w:trPr>
          <w:cantSplit/>
          <w:trHeight w:val="308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Okręgowego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>Apelacyjnego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307"/>
        </w:trPr>
        <w:tc>
          <w:tcPr>
            <w:tcW w:w="1843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</w:p>
        </w:tc>
        <w:tc>
          <w:tcPr>
            <w:tcW w:w="1697" w:type="dxa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6CC5" w:rsidRPr="008A0E29" w:rsidRDefault="00F73414" w:rsidP="00F73414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r w:rsidRPr="008A0E29">
              <w:rPr>
                <w:rFonts w:ascii="Arial" w:hAnsi="Arial" w:cs="Arial"/>
                <w:sz w:val="18"/>
                <w:szCs w:val="18"/>
              </w:rPr>
              <w:t>Apelacja Białostocka</w:t>
            </w:r>
          </w:p>
        </w:tc>
        <w:tc>
          <w:tcPr>
            <w:tcW w:w="4074" w:type="dxa"/>
            <w:vMerge/>
            <w:vAlign w:val="center"/>
          </w:tcPr>
          <w:p w:rsidR="00B36CC5" w:rsidRPr="008A0E29" w:rsidRDefault="00B36CC5" w:rsidP="00C525B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36CC5" w:rsidRPr="008A0E29" w:rsidTr="006133C6">
        <w:trPr>
          <w:cantSplit/>
          <w:trHeight w:val="415"/>
        </w:trPr>
        <w:tc>
          <w:tcPr>
            <w:tcW w:w="3540" w:type="dxa"/>
            <w:gridSpan w:val="2"/>
          </w:tcPr>
          <w:p w:rsidR="00B36CC5" w:rsidRPr="008A0E29" w:rsidRDefault="00B36CC5" w:rsidP="00C525B9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8A0E29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8A0E29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</w:tc>
        <w:tc>
          <w:tcPr>
            <w:tcW w:w="4074" w:type="dxa"/>
            <w:vMerge/>
          </w:tcPr>
          <w:p w:rsidR="00B36CC5" w:rsidRPr="008A0E29" w:rsidRDefault="00B36CC5" w:rsidP="00C525B9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3" w:type="dxa"/>
            <w:vMerge/>
            <w:vAlign w:val="center"/>
          </w:tcPr>
          <w:p w:rsidR="00B36CC5" w:rsidRPr="008A0E29" w:rsidRDefault="00B36CC5" w:rsidP="00C525B9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1.629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1.609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1.736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1.502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496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1.052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1.020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528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6"/>
        <w:gridCol w:w="19"/>
        <w:gridCol w:w="4833"/>
        <w:gridCol w:w="458"/>
        <w:gridCol w:w="1561"/>
        <w:gridCol w:w="1630"/>
      </w:tblGrid>
      <w:tr w:rsidR="00B36CC5" w:rsidRPr="008A0E29" w:rsidTr="009C3948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</w:t>
            </w:r>
          </w:p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(sprawy z wykazu Wu)</w:t>
            </w:r>
          </w:p>
        </w:tc>
        <w:tc>
          <w:tcPr>
            <w:tcW w:w="1561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7F2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21C46" w:rsidRPr="008A0E29" w:rsidTr="009C3948">
        <w:trPr>
          <w:cantSplit/>
          <w:trHeight w:hRule="exact" w:val="284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D17B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21C46" w:rsidRPr="008A0E29" w:rsidTr="009C3948">
        <w:trPr>
          <w:cantSplit/>
          <w:trHeight w:hRule="exact" w:val="255"/>
        </w:trPr>
        <w:tc>
          <w:tcPr>
            <w:tcW w:w="7262" w:type="dxa"/>
            <w:gridSpan w:val="4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(w.05 = w.06 do 12+16 do19+22 do 24)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6328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A07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(w.12 = 13 do 15)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uzależnień)– alkohol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E5E65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E5E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right w:val="single" w:sz="4" w:space="0" w:color="auto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6338F6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6338F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(w.19 = 20+21)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6338F6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1" w:type="dxa"/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C46" w:rsidRPr="008A0E29" w:rsidTr="00387730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nil"/>
            </w:tcBorders>
            <w:vAlign w:val="center"/>
          </w:tcPr>
          <w:p w:rsidR="00721C46" w:rsidRPr="008A0E29" w:rsidRDefault="00721C46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5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21C46" w:rsidRPr="008A0E29" w:rsidRDefault="00721C46" w:rsidP="007F2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C46" w:rsidRPr="008A0E29" w:rsidRDefault="00721C46" w:rsidP="007F2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1C46" w:rsidRPr="008A0E29" w:rsidRDefault="00721C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:rsidTr="00387730">
        <w:trPr>
          <w:cantSplit/>
          <w:trHeight w:hRule="exact" w:val="423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:rsidTr="00387730">
        <w:trPr>
          <w:cantSplit/>
          <w:trHeight w:hRule="exact" w:val="39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:rsidR="00336ACD" w:rsidRPr="008A0E29" w:rsidRDefault="00336ACD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val="385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DA4D2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592</w:t>
            </w: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5669" w:type="dxa"/>
            <w:gridSpan w:val="3"/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925253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2271" w:type="dxa"/>
            <w:gridSpan w:val="2"/>
            <w:vMerge/>
            <w:tcBorders>
              <w:bottom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925253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7A95" w:rsidRPr="008A0E29" w:rsidRDefault="002D6AB3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11430" r="12065" b="952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E4" w:rsidRPr="00AE7A81" w:rsidRDefault="00E11AE4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11AE4" w:rsidRDefault="00E11AE4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:rsidR="00E11AE4" w:rsidRPr="00AE7A81" w:rsidRDefault="00E11AE4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E11AE4" w:rsidRDefault="00E11AE4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B36CC5" w:rsidRPr="008A0E29" w:rsidTr="00AE7A81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6CC5" w:rsidRPr="008A0E29" w:rsidRDefault="00AE7A81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8051AF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336AC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7A81" w:rsidRPr="008A0E29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336AC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20237F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20237F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ED6417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96804" w:rsidRPr="008A0E29" w:rsidRDefault="00C9680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6"/>
        <w:gridCol w:w="145"/>
        <w:gridCol w:w="52"/>
        <w:gridCol w:w="301"/>
        <w:gridCol w:w="1774"/>
        <w:gridCol w:w="1178"/>
        <w:gridCol w:w="379"/>
        <w:gridCol w:w="1313"/>
        <w:gridCol w:w="1228"/>
        <w:gridCol w:w="1362"/>
        <w:gridCol w:w="1248"/>
      </w:tblGrid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:rsidTr="00925253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925253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EB4B0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EB4B0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21420E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3A1A1E" w:rsidRPr="008A0E29" w:rsidTr="00925253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:rsidTr="00925253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:rsidR="00B431E9" w:rsidRPr="008A0E29" w:rsidRDefault="002D6AB3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E4" w:rsidRPr="00EB4B00" w:rsidRDefault="00E11AE4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11AE4" w:rsidRDefault="00E11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2.9pt;margin-top:4.45pt;width:59.9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:rsidR="00E11AE4" w:rsidRPr="00EB4B00" w:rsidRDefault="00E11AE4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E11AE4" w:rsidRDefault="00E11AE4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:rsidR="00B431E9" w:rsidRPr="008A0E29" w:rsidRDefault="002D6AB3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AE4" w:rsidRPr="00EB4B00" w:rsidRDefault="00E11AE4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E11AE4" w:rsidRDefault="00E11AE4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3pt;margin-top:.3pt;width:59.9pt;height:1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:rsidR="00E11AE4" w:rsidRPr="00EB4B00" w:rsidRDefault="00E11AE4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E11AE4" w:rsidRDefault="00E11AE4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E11AE4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11AE4" w:rsidRPr="008A0E29" w:rsidTr="00E11AE4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E11AE4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11AE4" w:rsidRPr="008A0E29" w:rsidTr="00E11AE4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BC173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797A93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473A7" w:rsidRPr="008A0E29" w:rsidTr="00E11AE4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E11AE4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E11AE4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21420E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66591E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66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66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66591E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665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665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66591E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4947E3" w:rsidRPr="008A0E29" w:rsidTr="0066591E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4947E3" w:rsidRPr="008A0E29" w:rsidTr="0066591E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66591E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</w:tr>
      <w:tr w:rsidR="00273DE5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21420E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tcBorders>
              <w:top w:val="single" w:sz="4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21420E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68741B" w:rsidRPr="008A0E29" w:rsidTr="00E55C53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E55C53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21420E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  <w:gridCol w:w="1808"/>
      </w:tblGrid>
      <w:tr w:rsidR="006D4544" w:rsidRPr="008A0E29" w:rsidTr="0066591E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808" w:type="dxa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D4544" w:rsidRPr="008A0E29" w:rsidTr="00792EF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8A0E29" w:rsidRPr="008A0E29" w:rsidTr="00792EF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6D4544" w:rsidRPr="008A0E29" w:rsidRDefault="006D4544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4544" w:rsidRPr="008A0E29" w:rsidRDefault="006D4544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D4544" w:rsidRPr="008A0E29" w:rsidRDefault="006D45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8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D4544" w:rsidRPr="00792EF9" w:rsidRDefault="006D45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73ED5" w:rsidRPr="008A0E29" w:rsidTr="00792EF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D73ED5" w:rsidRPr="008A0E29" w:rsidRDefault="00D73ED5" w:rsidP="0066591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D5" w:rsidRPr="008A0E29" w:rsidRDefault="00D73ED5" w:rsidP="0066591E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ED5" w:rsidRPr="008A0E29" w:rsidRDefault="00D73ED5" w:rsidP="0066591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D5" w:rsidRPr="008A0E29" w:rsidRDefault="00D73E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3ED5" w:rsidRPr="00792EF9" w:rsidRDefault="00D73ED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73ED5" w:rsidRPr="008A0E29" w:rsidTr="00792EF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D73ED5" w:rsidRPr="008A0E29" w:rsidRDefault="00D73ED5" w:rsidP="0066591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D5" w:rsidRPr="008A0E29" w:rsidRDefault="00D73ED5" w:rsidP="0066591E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ED5" w:rsidRPr="008A0E29" w:rsidRDefault="00D73ED5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D5" w:rsidRPr="008A0E29" w:rsidRDefault="00D73E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3ED5" w:rsidRPr="00792EF9" w:rsidRDefault="00D73ED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73ED5" w:rsidRPr="008A0E29" w:rsidTr="00792EF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D73ED5" w:rsidRPr="008A0E29" w:rsidRDefault="00D73ED5" w:rsidP="0066591E">
            <w:pPr>
              <w:ind w:firstLine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wiersza 01 zakazu prowadzenia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ED5" w:rsidRPr="008A0E29" w:rsidRDefault="00D73ED5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D5" w:rsidRPr="008A0E29" w:rsidRDefault="00D73E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3ED5" w:rsidRPr="00792EF9" w:rsidRDefault="00D73ED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D73ED5" w:rsidRPr="008A0E29" w:rsidTr="00792EF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73ED5" w:rsidRPr="008A0E29" w:rsidRDefault="00D73ED5" w:rsidP="0066591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D5" w:rsidRPr="008A0E29" w:rsidRDefault="00D73ED5" w:rsidP="0066591E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ED5" w:rsidRPr="008A0E29" w:rsidRDefault="00D73ED5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ED5" w:rsidRPr="008A0E29" w:rsidRDefault="00D73E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3ED5" w:rsidRPr="00792EF9" w:rsidRDefault="00D73ED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8A0E29" w:rsidRPr="008A0E29" w:rsidTr="00792EF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73ED5" w:rsidRPr="008A0E29" w:rsidRDefault="00D73ED5" w:rsidP="0066591E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ED5" w:rsidRPr="008A0E29" w:rsidRDefault="00D73ED5" w:rsidP="0066591E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ED5" w:rsidRPr="008A0E29" w:rsidRDefault="00D73ED5" w:rsidP="006659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ED5" w:rsidRPr="008A0E29" w:rsidRDefault="00D73E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73ED5" w:rsidRPr="00792EF9" w:rsidRDefault="00D73ED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4155" w:rsidRPr="008A0E29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FD1990" w:rsidRPr="008A0E29">
        <w:rPr>
          <w:rFonts w:ascii="Arial" w:hAnsi="Arial" w:cs="Arial"/>
          <w:b/>
          <w:bCs/>
        </w:rPr>
        <w:t>2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250</w:t>
            </w:r>
          </w:p>
        </w:tc>
      </w:tr>
      <w:tr w:rsidR="009E2328" w:rsidRPr="008A0E29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E2328" w:rsidRPr="008A0E29" w:rsidRDefault="009E2328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2328" w:rsidRDefault="009E232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</w:tbl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2D6AB3" w:rsidP="00BC4FE4">
      <w:pPr>
        <w:tabs>
          <w:tab w:val="left" w:pos="360"/>
        </w:tabs>
        <w:jc w:val="center"/>
        <w:rPr>
          <w:b/>
          <w:bCs/>
        </w:rPr>
      </w:pPr>
      <w:r w:rsidRPr="00D873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0" t="4445" r="635" b="38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AE4" w:rsidRPr="004102F7" w:rsidRDefault="00E11AE4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E11AE4" w:rsidRPr="004102F7" w:rsidRDefault="00E11AE4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E11AE4" w:rsidRPr="004102F7" w:rsidRDefault="00E11AE4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11AE4" w:rsidRPr="000B589E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E11AE4" w:rsidRDefault="00E11AE4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11AE4" w:rsidRPr="000B589E" w:rsidRDefault="00E11AE4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E11AE4" w:rsidRPr="004102F7" w:rsidRDefault="00E11AE4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0.6pt;margin-top:-5.8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oyuwIAAMI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" filled="f" stroked="f">
                <v:textbox>
                  <w:txbxContent>
                    <w:p w:rsidR="00E11AE4" w:rsidRPr="004102F7" w:rsidRDefault="00E11AE4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E11AE4" w:rsidRPr="004102F7" w:rsidRDefault="00E11AE4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E11AE4" w:rsidRPr="004102F7" w:rsidRDefault="00E11AE4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E11AE4" w:rsidRPr="004102F7" w:rsidRDefault="00E11AE4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11AE4" w:rsidRPr="000B589E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E11AE4" w:rsidRDefault="00E11AE4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11AE4" w:rsidRPr="000B589E" w:rsidRDefault="00E11AE4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E11AE4" w:rsidRPr="004102F7" w:rsidRDefault="00E11AE4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8A0E29" w:rsidRPr="008A0E29" w:rsidRDefault="008A0E29" w:rsidP="008A0E29">
      <w:pPr>
        <w:tabs>
          <w:tab w:val="left" w:pos="360"/>
        </w:tabs>
        <w:jc w:val="center"/>
        <w:rPr>
          <w:b/>
          <w:bCs/>
        </w:rPr>
      </w:pPr>
      <w:r w:rsidRPr="008A0E29">
        <w:rPr>
          <w:b/>
          <w:bCs/>
        </w:rPr>
        <w:t>OBJAŚNIENIA do formularza MS-S10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Ogólne</w:t>
      </w:r>
    </w:p>
    <w:p w:rsidR="008A0E29" w:rsidRPr="008A0E29" w:rsidRDefault="008A0E29" w:rsidP="008A0E29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8A0E29" w:rsidRPr="008A0E29" w:rsidRDefault="008A0E29" w:rsidP="008A0E2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A0E29">
        <w:rPr>
          <w:rFonts w:ascii="Arial" w:hAnsi="Arial" w:cs="Arial"/>
          <w:sz w:val="20"/>
          <w:szCs w:val="20"/>
        </w:rPr>
        <w:t xml:space="preserve">, należy rozumieć przez to: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a)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A0E29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A0E29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A0E29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b)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A0E29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A0E29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A0E29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A0E29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8A0E29" w:rsidRPr="008A0E29" w:rsidRDefault="008A0E29" w:rsidP="008A0E2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c)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A0E29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8A0E29" w:rsidRPr="008A0E29" w:rsidRDefault="008A0E29" w:rsidP="008A0E2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wobec tej samej osoby może być bowiem nałożonych więcej niż jeden środek karny bądź obowiązek. Wiersz 01 oraz 05 mają zatem wykazać łączną liczbę wszystkich orzeczonych w okresie statystycznym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A0E29">
        <w:rPr>
          <w:rFonts w:ascii="Arial" w:hAnsi="Arial" w:cs="Arial"/>
          <w:sz w:val="20"/>
          <w:szCs w:val="20"/>
        </w:rPr>
        <w:t>, bez względu na liczbę orzeczeń oraz liczbę skazanych, wobec których sąd orzekł owe środki bądź obowiązki;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trike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2.4.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8A0E29" w:rsidRPr="008A0E29" w:rsidRDefault="008A0E29" w:rsidP="008A0E29">
      <w:pPr>
        <w:ind w:left="278"/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lastRenderedPageBreak/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4.1.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4.2.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5.2.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8A0E29" w:rsidRPr="008A0E29" w:rsidRDefault="008A0E29" w:rsidP="008A0E2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</w:p>
    <w:p w:rsidR="008A0E29" w:rsidRPr="008A0E29" w:rsidRDefault="008A0E29" w:rsidP="008A0E2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Dziale 6.2.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 xml:space="preserve">, bez względu na liczbę orzeczeń. W jednym orzeczeniu wobec tej samej osoby może być bowiem nałożonych więcej niż jeden środek karny bądź obowiązek. Wiersz 01 oraz 19 mają zatem wykazać łączną </w:t>
      </w:r>
      <w:r w:rsidRPr="008A0E29">
        <w:rPr>
          <w:rFonts w:ascii="Arial" w:hAnsi="Arial" w:cs="Arial"/>
          <w:sz w:val="20"/>
          <w:szCs w:val="20"/>
        </w:rPr>
        <w:lastRenderedPageBreak/>
        <w:t>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8A0E29" w:rsidRPr="008A0E29" w:rsidRDefault="008A0E29" w:rsidP="008A0E2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 xml:space="preserve">Dział ten zawiera listę </w:t>
      </w:r>
      <w:r w:rsidRPr="008A0E29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8A0E29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8A0E29" w:rsidRPr="008A0E29" w:rsidRDefault="008A0E29" w:rsidP="008A0E2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8A0E29" w:rsidRPr="008A0E29" w:rsidRDefault="008A0E29" w:rsidP="008A0E2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A0E29">
        <w:rPr>
          <w:rFonts w:ascii="Arial" w:hAnsi="Arial" w:cs="Arial"/>
          <w:b/>
          <w:sz w:val="20"/>
          <w:szCs w:val="20"/>
        </w:rPr>
        <w:t>Dział 6.4.</w:t>
      </w:r>
    </w:p>
    <w:p w:rsidR="008A0E29" w:rsidRPr="008A0E29" w:rsidRDefault="008A0E29" w:rsidP="008A0E2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8A0E29" w:rsidRPr="008A0E29" w:rsidRDefault="008A0E29" w:rsidP="008A0E29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8A0E29" w:rsidRPr="008A0E29" w:rsidRDefault="008A0E29" w:rsidP="008A0E2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8A0E29" w:rsidRPr="008A0E29" w:rsidRDefault="008A0E29" w:rsidP="008A0E2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8A0E29" w:rsidRPr="008A0E29" w:rsidRDefault="008A0E29" w:rsidP="008A0E2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8A0E29" w:rsidRPr="008A0E29" w:rsidRDefault="008A0E29" w:rsidP="008A0E29">
      <w:pPr>
        <w:tabs>
          <w:tab w:val="left" w:pos="278"/>
        </w:tabs>
        <w:jc w:val="both"/>
        <w:rPr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8</w:t>
      </w:r>
    </w:p>
    <w:p w:rsidR="008A0E29" w:rsidRPr="008A0E29" w:rsidRDefault="008A0E29" w:rsidP="008A0E29">
      <w:pPr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8A0E29" w:rsidRPr="008A0E29" w:rsidRDefault="008A0E29" w:rsidP="008A0E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9</w:t>
      </w:r>
    </w:p>
    <w:p w:rsidR="008A0E29" w:rsidRPr="008A0E29" w:rsidRDefault="008A0E29" w:rsidP="008A0E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A0E29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zawieszono w okresie sprawozdawczym.</w:t>
      </w:r>
    </w:p>
    <w:p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F8" w:rsidRDefault="001775F8" w:rsidP="00F73414">
      <w:r>
        <w:separator/>
      </w:r>
    </w:p>
  </w:endnote>
  <w:endnote w:type="continuationSeparator" w:id="0">
    <w:p w:rsidR="001775F8" w:rsidRDefault="001775F8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4" w:rsidRDefault="00E11AE4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D8739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D8739B" w:rsidRPr="003852EC">
      <w:rPr>
        <w:b/>
        <w:bCs/>
        <w:sz w:val="16"/>
        <w:szCs w:val="16"/>
      </w:rPr>
      <w:fldChar w:fldCharType="separate"/>
    </w:r>
    <w:r w:rsidR="002D6AB3">
      <w:rPr>
        <w:b/>
        <w:bCs/>
        <w:noProof/>
        <w:sz w:val="16"/>
        <w:szCs w:val="16"/>
      </w:rPr>
      <w:t>2</w:t>
    </w:r>
    <w:r w:rsidR="00D8739B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D8739B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D8739B" w:rsidRPr="003852EC">
      <w:rPr>
        <w:b/>
        <w:bCs/>
        <w:sz w:val="16"/>
        <w:szCs w:val="16"/>
      </w:rPr>
      <w:fldChar w:fldCharType="separate"/>
    </w:r>
    <w:r w:rsidR="002D6AB3">
      <w:rPr>
        <w:b/>
        <w:bCs/>
        <w:noProof/>
        <w:sz w:val="16"/>
        <w:szCs w:val="16"/>
      </w:rPr>
      <w:t>16</w:t>
    </w:r>
    <w:r w:rsidR="00D8739B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F8" w:rsidRDefault="001775F8" w:rsidP="00F73414">
      <w:r>
        <w:separator/>
      </w:r>
    </w:p>
  </w:footnote>
  <w:footnote w:type="continuationSeparator" w:id="0">
    <w:p w:rsidR="001775F8" w:rsidRDefault="001775F8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E4" w:rsidRDefault="00E11AE4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07.08.2018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5F8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6AB3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7C66"/>
    <w:rsid w:val="00433451"/>
    <w:rsid w:val="00434278"/>
    <w:rsid w:val="0043479E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A2267"/>
    <w:rsid w:val="004A2D9D"/>
    <w:rsid w:val="004A3D45"/>
    <w:rsid w:val="004A3DCC"/>
    <w:rsid w:val="004B1F2A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7797"/>
    <w:rsid w:val="0062667D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66167"/>
    <w:rsid w:val="009719C2"/>
    <w:rsid w:val="00975066"/>
    <w:rsid w:val="00984CE1"/>
    <w:rsid w:val="00985E1C"/>
    <w:rsid w:val="009907C8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512B"/>
    <w:rsid w:val="00A95934"/>
    <w:rsid w:val="00A97CA8"/>
    <w:rsid w:val="00AA392B"/>
    <w:rsid w:val="00AA73EF"/>
    <w:rsid w:val="00AB0176"/>
    <w:rsid w:val="00AB1AA0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30DC8"/>
    <w:rsid w:val="00C317CB"/>
    <w:rsid w:val="00C33576"/>
    <w:rsid w:val="00C43B53"/>
    <w:rsid w:val="00C445C8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284"/>
    <w:rsid w:val="00C96804"/>
    <w:rsid w:val="00C972B7"/>
    <w:rsid w:val="00CA09E2"/>
    <w:rsid w:val="00CA3C0F"/>
    <w:rsid w:val="00CA6A18"/>
    <w:rsid w:val="00CB1393"/>
    <w:rsid w:val="00CC6809"/>
    <w:rsid w:val="00CC718A"/>
    <w:rsid w:val="00CD03C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8739B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41CB3"/>
    <w:rsid w:val="00E4380C"/>
    <w:rsid w:val="00E54FCF"/>
    <w:rsid w:val="00E55C53"/>
    <w:rsid w:val="00E55E78"/>
    <w:rsid w:val="00E5664B"/>
    <w:rsid w:val="00E57C44"/>
    <w:rsid w:val="00E63087"/>
    <w:rsid w:val="00E635A1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6417"/>
    <w:rsid w:val="00EE0831"/>
    <w:rsid w:val="00EE7AD6"/>
    <w:rsid w:val="00EF3857"/>
    <w:rsid w:val="00EF7A58"/>
    <w:rsid w:val="00F012FA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4ABD800-0010-4F39-9D1A-21C1E4B1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7090</Words>
  <Characters>42542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49533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Decewicz Regina</cp:lastModifiedBy>
  <cp:revision>2</cp:revision>
  <cp:lastPrinted>2015-04-16T13:54:00Z</cp:lastPrinted>
  <dcterms:created xsi:type="dcterms:W3CDTF">2018-08-07T11:55:00Z</dcterms:created>
  <dcterms:modified xsi:type="dcterms:W3CDTF">2018-08-07T11:55:00Z</dcterms:modified>
</cp:coreProperties>
</file>