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C0" w:rsidRDefault="007D6FC0" w:rsidP="007D6FC0">
      <w:pPr>
        <w:spacing w:after="0" w:line="276" w:lineRule="auto"/>
        <w:jc w:val="right"/>
        <w:rPr>
          <w:rFonts w:ascii="Georgia" w:eastAsia="Georgia" w:hAnsi="Georgia" w:cs="Georgia"/>
          <w:color w:val="000000"/>
          <w:sz w:val="20"/>
          <w:shd w:val="clear" w:color="auto" w:fill="FFFFFF"/>
        </w:rPr>
      </w:pPr>
      <w:r>
        <w:rPr>
          <w:rFonts w:ascii="Georgia" w:eastAsia="Georgia" w:hAnsi="Georgia" w:cs="Georgia"/>
          <w:color w:val="000000"/>
          <w:sz w:val="20"/>
          <w:shd w:val="clear" w:color="auto" w:fill="FFFFFF"/>
        </w:rPr>
        <w:t>Miasteczko Śląskie 2017-01-14</w:t>
      </w:r>
    </w:p>
    <w:p w:rsidR="007D6FC0" w:rsidRDefault="007D6FC0" w:rsidP="007D6FC0">
      <w:pPr>
        <w:spacing w:after="0" w:line="276" w:lineRule="auto"/>
        <w:jc w:val="right"/>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 xml:space="preserve">Do: Prezes Sądu Okręgowego </w:t>
      </w:r>
      <w:r>
        <w:rPr>
          <w:rFonts w:ascii="Georgia" w:eastAsia="Georgia" w:hAnsi="Georgia" w:cs="Georgia"/>
          <w:b/>
          <w:color w:val="000000"/>
          <w:sz w:val="20"/>
        </w:rPr>
        <w:t>SSA Sławomir Bagiński</w:t>
      </w:r>
    </w:p>
    <w:p w:rsidR="007D6FC0" w:rsidRDefault="007D6FC0" w:rsidP="007D6FC0">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 xml:space="preserve">Sąd Okręgowy w </w:t>
      </w:r>
      <w:r>
        <w:rPr>
          <w:rFonts w:ascii="Georgia" w:eastAsia="Georgia" w:hAnsi="Georgia" w:cs="Georgia"/>
          <w:b/>
          <w:color w:val="000000"/>
          <w:sz w:val="20"/>
        </w:rPr>
        <w:t>Łomży</w:t>
      </w:r>
    </w:p>
    <w:p w:rsidR="007D6FC0" w:rsidRDefault="007D6FC0" w:rsidP="007D6FC0">
      <w:pPr>
        <w:spacing w:after="0" w:line="276" w:lineRule="auto"/>
        <w:rPr>
          <w:rFonts w:ascii="Georgia" w:eastAsia="Georgia" w:hAnsi="Georgia" w:cs="Georgia"/>
          <w:b/>
          <w:color w:val="000000"/>
          <w:sz w:val="20"/>
          <w:shd w:val="clear" w:color="auto" w:fill="FFFFFF"/>
        </w:rPr>
      </w:pPr>
      <w:r>
        <w:rPr>
          <w:rFonts w:ascii="Georgia" w:eastAsia="Georgia" w:hAnsi="Georgia" w:cs="Georgia"/>
          <w:b/>
          <w:color w:val="000000"/>
          <w:sz w:val="20"/>
          <w:shd w:val="clear" w:color="auto" w:fill="FFFFFF"/>
        </w:rPr>
        <w:t>email:</w:t>
      </w:r>
      <w:r>
        <w:rPr>
          <w:rFonts w:ascii="Georgia" w:eastAsia="Georgia" w:hAnsi="Georgia" w:cs="Georgia"/>
          <w:color w:val="000000"/>
          <w:sz w:val="20"/>
          <w:shd w:val="clear" w:color="auto" w:fill="FFFFFF"/>
        </w:rPr>
        <w:t xml:space="preserve">  </w:t>
      </w:r>
      <w:r>
        <w:rPr>
          <w:rFonts w:ascii="Georgia" w:eastAsia="Georgia" w:hAnsi="Georgia" w:cs="Georgia"/>
          <w:b/>
          <w:color w:val="000000"/>
          <w:sz w:val="20"/>
          <w:shd w:val="clear" w:color="auto" w:fill="FFFFFF"/>
        </w:rPr>
        <w:t>sekretariat@lomza.so.gov.pl</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do wiadomości:</w:t>
      </w:r>
      <w:r>
        <w:rPr>
          <w:rFonts w:ascii="Georgia" w:eastAsia="Georgia" w:hAnsi="Georgia" w:cs="Georgia"/>
          <w:color w:val="000000"/>
          <w:sz w:val="20"/>
          <w:shd w:val="clear" w:color="auto" w:fill="FFFFFF"/>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Minister Sprawiedliwości: </w:t>
      </w:r>
      <w:r>
        <w:rPr>
          <w:rFonts w:ascii="Georgia" w:eastAsia="Georgia" w:hAnsi="Georgia" w:cs="Georgia"/>
          <w:b/>
          <w:color w:val="000000"/>
          <w:sz w:val="20"/>
          <w:shd w:val="clear" w:color="auto" w:fill="FFFFFF"/>
        </w:rPr>
        <w:t xml:space="preserve">wnioski@ms.gov.pl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Krajowa Szkoła Sądownictwa i Prokuratury: </w:t>
      </w:r>
      <w:r>
        <w:rPr>
          <w:rFonts w:ascii="Georgia" w:eastAsia="Georgia" w:hAnsi="Georgia" w:cs="Georgia"/>
          <w:b/>
          <w:color w:val="000000"/>
          <w:sz w:val="20"/>
          <w:shd w:val="clear" w:color="auto" w:fill="FFFFFF"/>
        </w:rPr>
        <w:t>sekretariat@kssip.gov.pl</w:t>
      </w:r>
      <w:r>
        <w:rPr>
          <w:rFonts w:ascii="Georgia" w:eastAsia="Georgia" w:hAnsi="Georgia" w:cs="Georgia"/>
          <w:color w:val="000000"/>
          <w:sz w:val="20"/>
          <w:shd w:val="clear" w:color="auto" w:fill="FFFFFF"/>
        </w:rPr>
        <w:t xml:space="preserve"> </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Petycja</w:t>
      </w:r>
    </w:p>
    <w:p w:rsidR="007D6FC0" w:rsidRDefault="007D6FC0" w:rsidP="007D6FC0">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o udostępnienie materiałów informacyjnych</w:t>
      </w:r>
    </w:p>
    <w:p w:rsidR="007D6FC0" w:rsidRDefault="007D6FC0" w:rsidP="007D6FC0">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 xml:space="preserve">sędziom Sądu Okręgowego w Łomży </w:t>
      </w:r>
    </w:p>
    <w:p w:rsidR="007D6FC0" w:rsidRDefault="007D6FC0" w:rsidP="007D6FC0">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 xml:space="preserve">oraz sędziom </w:t>
      </w:r>
    </w:p>
    <w:p w:rsidR="007D6FC0" w:rsidRDefault="007D6FC0" w:rsidP="007D6FC0">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podległych Sądowi Okręgowemu Sądów Rejonowych.</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Szanowny Panie Prezesie,</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Uzasadnienie.</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color w:val="000000"/>
          <w:sz w:val="20"/>
          <w:shd w:val="clear" w:color="auto" w:fill="FFFFFF"/>
        </w:rPr>
        <w:t>dostrzegając doniosłość</w:t>
      </w:r>
      <w:r>
        <w:rPr>
          <w:rFonts w:ascii="Georgia" w:eastAsia="Georgia" w:hAnsi="Georgia" w:cs="Georgia"/>
          <w:color w:val="000000"/>
          <w:sz w:val="20"/>
          <w:shd w:val="clear" w:color="auto" w:fill="FFFFFF"/>
        </w:rPr>
        <w:t>” tego zagadnienia, przyznało, iż przeprowadzenie szkoleń dla sędziów z tej tematyki “</w:t>
      </w:r>
      <w:r>
        <w:rPr>
          <w:rFonts w:ascii="Georgia" w:eastAsia="Georgia" w:hAnsi="Georgia" w:cs="Georgia"/>
          <w:i/>
          <w:color w:val="000000"/>
          <w:sz w:val="20"/>
          <w:shd w:val="clear" w:color="auto" w:fill="FFFFFF"/>
        </w:rPr>
        <w:t>ma charakter istotny</w:t>
      </w:r>
      <w:r>
        <w:rPr>
          <w:rFonts w:ascii="Georgia" w:eastAsia="Georgia" w:hAnsi="Georgia" w:cs="Georgia"/>
          <w:color w:val="000000"/>
          <w:sz w:val="20"/>
          <w:shd w:val="clear" w:color="auto" w:fill="FFFFFF"/>
        </w:rPr>
        <w:t>”.</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eastAsia="Cambria Math" w:hAnsi="Cambria Math" w:cs="Cambria Math"/>
          <w:color w:val="000000"/>
          <w:sz w:val="20"/>
          <w:shd w:val="clear" w:color="auto" w:fill="FFFFFF"/>
        </w:rPr>
        <w:t>⇔</w:t>
      </w:r>
      <w:r>
        <w:rPr>
          <w:rFonts w:ascii="Georgia" w:eastAsia="Georgia" w:hAnsi="Georgia" w:cs="Georgia"/>
          <w:color w:val="000000"/>
          <w:sz w:val="20"/>
          <w:shd w:val="clear" w:color="auto" w:fill="FFFFFF"/>
        </w:rPr>
        <w:t xml:space="preserve"> konsument wydaje się być działaniem dramatycznie wręcz spóźnionym.</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7D6FC0" w:rsidRDefault="007D6FC0" w:rsidP="007D6FC0">
      <w:pPr>
        <w:spacing w:after="0" w:line="276" w:lineRule="auto"/>
        <w:rPr>
          <w:rFonts w:ascii="Arial" w:eastAsia="Arial" w:hAnsi="Arial" w:cs="Arial"/>
          <w:color w:val="000000"/>
        </w:rPr>
      </w:pPr>
      <w:r>
        <w:rPr>
          <w:rFonts w:ascii="Georgia" w:eastAsia="Georgia" w:hAnsi="Georgia" w:cs="Georgia"/>
          <w:b/>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Systemowe rozwiązanie ochrony konsumenta w stosunkach indywidualnych, oparte na postanowieniach dyrektywy Rady UE 93/13/EWG z dnia 5 kwietnia 1993 r. w sprawie nieuczciwych </w:t>
      </w:r>
      <w:r>
        <w:rPr>
          <w:rFonts w:ascii="Georgia" w:eastAsia="Georgia" w:hAnsi="Georgia" w:cs="Georgia"/>
          <w:color w:val="000000"/>
          <w:sz w:val="20"/>
        </w:rPr>
        <w:lastRenderedPageBreak/>
        <w:t xml:space="preserve">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color w:val="000000"/>
          <w:sz w:val="20"/>
          <w:u w:val="single"/>
        </w:rPr>
        <w:t>sądy z urzędu</w:t>
      </w:r>
      <w:r>
        <w:rPr>
          <w:rFonts w:ascii="Georgia" w:eastAsia="Georgia" w:hAnsi="Georgia" w:cs="Georgia"/>
          <w:color w:val="000000"/>
          <w:sz w:val="20"/>
        </w:rPr>
        <w:t xml:space="preserve"> badają abuzywność klauzul stosowanych przez przedsiębiorców i stosują sankcję w postaci bezskuteczności postanowienia, a nawet nieważności całej umowy.</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Jak wielokrotnie określa to Europejski Trybunał Sprawiedliwości: "</w:t>
      </w:r>
      <w:r>
        <w:rPr>
          <w:rFonts w:ascii="Georgia" w:eastAsia="Georgia" w:hAnsi="Georgia" w:cs="Georgia"/>
          <w:i/>
          <w:color w:val="000000"/>
          <w:sz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color w:val="000000"/>
          <w:sz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color w:val="000000"/>
          <w:sz w:val="20"/>
        </w:rPr>
        <w:t>." (tak wyroki ETS:</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 z dnia 9 listopada 2010 r. w sprawie C-137/08 VB </w:t>
      </w:r>
      <w:proofErr w:type="spellStart"/>
      <w:r>
        <w:rPr>
          <w:rFonts w:ascii="Georgia" w:eastAsia="Georgia" w:hAnsi="Georgia" w:cs="Georgia"/>
          <w:color w:val="000000"/>
          <w:sz w:val="20"/>
        </w:rPr>
        <w:t>Pénzügyi</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Lízing</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Zb.Orz</w:t>
      </w:r>
      <w:proofErr w:type="spellEnd"/>
      <w:r>
        <w:rPr>
          <w:rFonts w:ascii="Georgia" w:eastAsia="Georgia" w:hAnsi="Georgia" w:cs="Georgia"/>
          <w:color w:val="000000"/>
          <w:sz w:val="20"/>
        </w:rPr>
        <w:t xml:space="preserve">. s. I-10847, pkt 47; z dnia 15 marca 2012 r. w sprawie C-453/10 </w:t>
      </w:r>
      <w:proofErr w:type="spellStart"/>
      <w:r>
        <w:rPr>
          <w:rFonts w:ascii="Georgia" w:eastAsia="Georgia" w:hAnsi="Georgia" w:cs="Georgia"/>
          <w:color w:val="000000"/>
          <w:sz w:val="20"/>
        </w:rPr>
        <w:t>Pereničová</w:t>
      </w:r>
      <w:proofErr w:type="spellEnd"/>
      <w:r>
        <w:rPr>
          <w:rFonts w:ascii="Georgia" w:eastAsia="Georgia" w:hAnsi="Georgia" w:cs="Georgia"/>
          <w:color w:val="000000"/>
          <w:sz w:val="20"/>
        </w:rPr>
        <w:t xml:space="preserve"> i </w:t>
      </w:r>
      <w:proofErr w:type="spellStart"/>
      <w:r>
        <w:rPr>
          <w:rFonts w:ascii="Georgia" w:eastAsia="Georgia" w:hAnsi="Georgia" w:cs="Georgia"/>
          <w:color w:val="000000"/>
          <w:sz w:val="20"/>
        </w:rPr>
        <w:t>Perenič</w:t>
      </w:r>
      <w:proofErr w:type="spellEnd"/>
      <w:r>
        <w:rPr>
          <w:rFonts w:ascii="Georgia" w:eastAsia="Georgia" w:hAnsi="Georgia" w:cs="Georgia"/>
          <w:color w:val="000000"/>
          <w:sz w:val="20"/>
        </w:rPr>
        <w:t>, pkt 28).</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color w:val="000000"/>
          <w:sz w:val="20"/>
        </w:rPr>
        <w:t xml:space="preserve">"(..) sądy krajowe są zobowiązane </w:t>
      </w:r>
      <w:r>
        <w:rPr>
          <w:rFonts w:ascii="Georgia" w:eastAsia="Georgia" w:hAnsi="Georgia" w:cs="Georgia"/>
          <w:b/>
          <w:i/>
          <w:color w:val="000000"/>
          <w:sz w:val="20"/>
        </w:rPr>
        <w:t>wyłącznie do zaniechania</w:t>
      </w:r>
      <w:r>
        <w:rPr>
          <w:rFonts w:ascii="Georgia" w:eastAsia="Georgia" w:hAnsi="Georgia" w:cs="Georgia"/>
          <w:i/>
          <w:color w:val="000000"/>
          <w:sz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color w:val="000000"/>
          <w:sz w:val="20"/>
        </w:rPr>
        <w:t>Pohotovost</w:t>
      </w:r>
      <w:proofErr w:type="spellEnd"/>
      <w:r>
        <w:rPr>
          <w:rFonts w:ascii="Georgia" w:eastAsia="Georgia" w:hAnsi="Georgia" w:cs="Georgia"/>
          <w:i/>
          <w:color w:val="000000"/>
          <w:sz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color w:val="000000"/>
          <w:sz w:val="20"/>
        </w:rPr>
        <w:t>wyrok TE</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color w:val="000000"/>
          <w:sz w:val="20"/>
        </w:rPr>
        <w:t>polisolokat</w:t>
      </w:r>
      <w:proofErr w:type="spellEnd"/>
      <w:r>
        <w:rPr>
          <w:rFonts w:ascii="Georgia" w:eastAsia="Georgia" w:hAnsi="Georgia" w:cs="Georgia"/>
          <w:color w:val="000000"/>
          <w:sz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w:t>
      </w:r>
      <w:r>
        <w:rPr>
          <w:rFonts w:ascii="Georgia" w:eastAsia="Georgia" w:hAnsi="Georgia" w:cs="Georgia"/>
          <w:color w:val="000000"/>
          <w:sz w:val="20"/>
        </w:rPr>
        <w:lastRenderedPageBreak/>
        <w:t>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color w:val="000000"/>
          <w:sz w:val="20"/>
        </w:rPr>
        <w:t>klient widział, co podpisuje</w:t>
      </w:r>
      <w:r>
        <w:rPr>
          <w:rFonts w:ascii="Georgia" w:eastAsia="Georgia" w:hAnsi="Georgia" w:cs="Georgia"/>
          <w:color w:val="000000"/>
          <w:sz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Problem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color w:val="000000"/>
          <w:sz w:val="20"/>
          <w:shd w:val="clear" w:color="auto" w:fill="FFFFFF"/>
        </w:rPr>
        <w:t>w dniu zawierania umowy</w:t>
      </w:r>
      <w:r>
        <w:rPr>
          <w:rFonts w:ascii="Georgia" w:eastAsia="Georgia" w:hAnsi="Georgia" w:cs="Georgia"/>
          <w:color w:val="000000"/>
          <w:sz w:val="20"/>
          <w:shd w:val="clear" w:color="auto" w:fill="FFFFFF"/>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color w:val="000000"/>
          <w:sz w:val="20"/>
          <w:shd w:val="clear" w:color="auto" w:fill="FFFFFF"/>
        </w:rPr>
        <w:t xml:space="preserve">Oceny zgodności postanowienia umowy z dobrymi obyczajami dokonuje się </w:t>
      </w:r>
      <w:r>
        <w:rPr>
          <w:rFonts w:ascii="Georgia" w:eastAsia="Georgia" w:hAnsi="Georgia" w:cs="Georgia"/>
          <w:b/>
          <w:i/>
          <w:color w:val="000000"/>
          <w:sz w:val="20"/>
          <w:shd w:val="clear" w:color="auto" w:fill="FFFFFF"/>
        </w:rPr>
        <w:t>według stanu z chwili zawarcia umowy</w:t>
      </w:r>
      <w:r>
        <w:rPr>
          <w:rFonts w:ascii="Georgia" w:eastAsia="Georgia" w:hAnsi="Georgia" w:cs="Georgia"/>
          <w:i/>
          <w:color w:val="000000"/>
          <w:sz w:val="20"/>
          <w:shd w:val="clear" w:color="auto" w:fill="FFFFFF"/>
        </w:rPr>
        <w:t>, biorąc pod uwagę jej treść, okoliczności zawarcia oraz uwzględniając umowy pozostające w związku z umową obejmującą postanowienie będące przedmiotem oceny.</w:t>
      </w:r>
      <w:r>
        <w:rPr>
          <w:rFonts w:ascii="Georgia" w:eastAsia="Georgia" w:hAnsi="Georgia" w:cs="Georgia"/>
          <w:color w:val="000000"/>
          <w:sz w:val="20"/>
          <w:shd w:val="clear" w:color="auto" w:fill="FFFFFF"/>
        </w:rPr>
        <w:t>”</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color w:val="000000"/>
          <w:sz w:val="20"/>
          <w:shd w:val="clear" w:color="auto" w:fill="FFFFFF"/>
        </w:rPr>
        <w:t>antyspreadowej</w:t>
      </w:r>
      <w:proofErr w:type="spellEnd"/>
      <w:r>
        <w:rPr>
          <w:rFonts w:ascii="Georgia" w:eastAsia="Georgia" w:hAnsi="Georgia" w:cs="Georgia"/>
          <w:color w:val="000000"/>
          <w:sz w:val="20"/>
          <w:shd w:val="clear" w:color="auto" w:fill="FFFFFF"/>
        </w:rPr>
        <w:t xml:space="preserve"> wydaje się być powoływanie się na nią przez sędziów, co rzekomo rozwiązuje problem i uniemożliwia stwierdzenie abuzywności postanowienia umownego dotyczącego spłaty rat kredytowych.</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color w:val="000000"/>
          <w:sz w:val="20"/>
          <w:shd w:val="clear" w:color="auto" w:fill="FFFFFF"/>
        </w:rPr>
        <w:t>spreadu</w:t>
      </w:r>
      <w:proofErr w:type="spellEnd"/>
      <w:r>
        <w:rPr>
          <w:rFonts w:ascii="Georgia" w:eastAsia="Georgia" w:hAnsi="Georgia" w:cs="Georgia"/>
          <w:color w:val="000000"/>
          <w:sz w:val="20"/>
          <w:shd w:val="clear" w:color="auto" w:fill="FFFFFF"/>
        </w:rPr>
        <w:t xml:space="preserve"> walutowego (różnica między kursem sprzedaży, a kursem kupna z tabeli kursowej banku).</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Dlatego też niniejszą petycją wnoszę o przekazanie wszystkim sędziom Sądu Okręgowego w Łomży oraz wszystkim sędziom podległych Sądowi Okręgowemu Sądów Rejonowych treści niniejszej petycji wraz z załącznikami:</w:t>
      </w:r>
    </w:p>
    <w:p w:rsidR="007D6FC0" w:rsidRDefault="007D6FC0" w:rsidP="007D6FC0">
      <w:pPr>
        <w:spacing w:after="0" w:line="276" w:lineRule="auto"/>
        <w:rPr>
          <w:rFonts w:ascii="Arial" w:eastAsia="Arial" w:hAnsi="Arial" w:cs="Arial"/>
          <w:color w:val="000000"/>
        </w:rPr>
      </w:pP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Raport Rzecznika Finansowego “Analiza prawna wybranych postanowień umownych stosowanych przez banki w umowach kredytów indeksowanych do waluty obcej lub denominowanych w walucie obcej zawieranych z konsumentami”</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DYREKTYWA RADY 93/13/EWG z dnia 5 kwietnia 1993 r. w sprawie nieuczciwych warunków w umowach konsumenckich</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Informacja UOKiK o sprostowaniu do Dyrektywy  Rady 93/13/EWG z dnia 5 kwietnia 1993 r. w sprawie nieuczciwych warunków w umowach konsumenckich</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 xml:space="preserve">Sprostowanie do dyrektywy Rady 93/13/EWG z dnia 5 kwietnia 1993 r. w sprawie nieuczciwych warunków w umowach konsumenckich </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Istotny pogląd Prezesa UOKiK w sprawie umowy kredytu waloryzowanego (mBank)</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Istotny pogląd Prezesa UOKiK w sprawie umowy kredytu waloryzowanego (Eurobank)</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Istotny pogląd Rzecznika Finansowego w sprawie umowy kredytu indeksowanego (Bank Millenium)</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Petycja do Ministra Sprawiedliwości w sprawie przeprowadzenia szkoleń dla sędziów sądów powszechnych</w:t>
      </w:r>
    </w:p>
    <w:p w:rsidR="007D6FC0" w:rsidRDefault="007D6FC0" w:rsidP="007D6FC0">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Odpowiedź Ministerstwa Sprawiedliwości na petycję w sprawie przeprowadzenia szkoleń dla sędziów sądów powszechnych.</w:t>
      </w:r>
    </w:p>
    <w:p w:rsidR="007D6FC0" w:rsidRDefault="007D6FC0" w:rsidP="007D6FC0">
      <w:pPr>
        <w:spacing w:after="0" w:line="276" w:lineRule="auto"/>
        <w:rPr>
          <w:rFonts w:ascii="Arial" w:eastAsia="Arial" w:hAnsi="Arial" w:cs="Arial"/>
          <w:color w:val="000000"/>
        </w:rPr>
      </w:pP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Z powyższych względów - z uwagi na ważny interes społeczny - niniejszy wniosek  jest w pełni racjonalny i uzasadniony, a zatem zasługuje na pozytywne rozpatrzenie, o co niniejszym wnoszę.</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Niniejszym oświadczam, iż nie wyrażam zgody na publikację moich danych osobowych.</w:t>
      </w:r>
    </w:p>
    <w:p w:rsidR="007D6FC0" w:rsidRDefault="007D6FC0" w:rsidP="007D6FC0">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7D6FC0" w:rsidRDefault="007D6FC0" w:rsidP="007D6FC0">
      <w:pPr>
        <w:spacing w:after="0" w:line="276" w:lineRule="auto"/>
        <w:rPr>
          <w:rFonts w:ascii="Arial" w:eastAsia="Arial" w:hAnsi="Arial" w:cs="Arial"/>
          <w:color w:val="000000"/>
        </w:rPr>
      </w:pPr>
    </w:p>
    <w:p w:rsidR="0054049C" w:rsidRDefault="0054049C" w:rsidP="007D6FC0">
      <w:bookmarkStart w:id="0" w:name="_GoBack"/>
      <w:bookmarkEnd w:id="0"/>
    </w:p>
    <w:sectPr w:rsidR="0054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93610"/>
    <w:multiLevelType w:val="multilevel"/>
    <w:tmpl w:val="7C183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3A"/>
    <w:rsid w:val="0054049C"/>
    <w:rsid w:val="0078123A"/>
    <w:rsid w:val="007D6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F6638-5368-473C-B1C3-05BCF5B3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FC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11873</Characters>
  <Application>Microsoft Office Word</Application>
  <DocSecurity>0</DocSecurity>
  <Lines>98</Lines>
  <Paragraphs>27</Paragraphs>
  <ScaleCrop>false</ScaleCrop>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2017-02-15T06:57:00Z</dcterms:created>
  <dcterms:modified xsi:type="dcterms:W3CDTF">2017-02-15T06:57:00Z</dcterms:modified>
</cp:coreProperties>
</file>